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08" w:rsidRDefault="00FC04AA">
      <w:pPr>
        <w:spacing w:before="280" w:after="0" w:line="57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</w:t>
      </w:r>
      <w:r w:rsidR="00727E6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онных систем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AB7D08" w:rsidRDefault="00FC04A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 декабря 2020</w:t>
      </w:r>
      <w:r>
        <w:rPr>
          <w:rFonts w:ascii="Times New Roman" w:eastAsia="Times New Roman" w:hAnsi="Times New Roman" w:cs="Times New Roman"/>
          <w:sz w:val="28"/>
        </w:rPr>
        <w:t xml:space="preserve"> года в Федеральном казенном предприятии «Государственный казенный научно - испытательный полигон авиацио</w:t>
      </w:r>
      <w:r w:rsidR="00727E65">
        <w:rPr>
          <w:rFonts w:ascii="Times New Roman" w:eastAsia="Times New Roman" w:hAnsi="Times New Roman" w:cs="Times New Roman"/>
          <w:sz w:val="28"/>
        </w:rPr>
        <w:t>нных систем</w:t>
      </w:r>
      <w:r>
        <w:rPr>
          <w:rFonts w:ascii="Times New Roman" w:eastAsia="Times New Roman" w:hAnsi="Times New Roman" w:cs="Times New Roman"/>
          <w:sz w:val="28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</w:t>
      </w:r>
      <w:r>
        <w:rPr>
          <w:rFonts w:ascii="Times New Roman" w:eastAsia="Times New Roman" w:hAnsi="Times New Roman" w:cs="Times New Roman"/>
          <w:sz w:val="28"/>
        </w:rPr>
        <w:t>снований для проведения заседания Ком</w:t>
      </w:r>
      <w:r w:rsidR="00727E65">
        <w:rPr>
          <w:rFonts w:ascii="Times New Roman" w:eastAsia="Times New Roman" w:hAnsi="Times New Roman" w:cs="Times New Roman"/>
          <w:sz w:val="28"/>
        </w:rPr>
        <w:t>иссии послужило исполнение плановых мероприятий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противодействию коррупции и урегулированию конфликта интересов в Ф</w:t>
      </w:r>
      <w:r w:rsidR="00727E65">
        <w:rPr>
          <w:rFonts w:ascii="Times New Roman" w:eastAsia="Times New Roman" w:hAnsi="Times New Roman" w:cs="Times New Roman"/>
          <w:sz w:val="28"/>
        </w:rPr>
        <w:t>КП «</w:t>
      </w:r>
      <w:proofErr w:type="spellStart"/>
      <w:r w:rsidR="00727E65"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 w:rsidR="00727E6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</w:t>
      </w:r>
      <w:r>
        <w:rPr>
          <w:rFonts w:ascii="Times New Roman" w:eastAsia="Times New Roman" w:hAnsi="Times New Roman" w:cs="Times New Roman"/>
          <w:sz w:val="28"/>
        </w:rPr>
        <w:t xml:space="preserve">ультатам рассмотрения </w:t>
      </w:r>
      <w:r>
        <w:rPr>
          <w:rFonts w:ascii="Times New Roman" w:eastAsia="Times New Roman" w:hAnsi="Times New Roman" w:cs="Times New Roman"/>
          <w:sz w:val="28"/>
        </w:rPr>
        <w:t>плановых мероприятий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результатах реализации мероприятий в сфере противодействия коррупции на Предприятии (о ежеквартальн</w:t>
      </w:r>
      <w:r>
        <w:rPr>
          <w:rFonts w:ascii="Times New Roman" w:eastAsia="Times New Roman" w:hAnsi="Times New Roman" w:cs="Times New Roman"/>
          <w:sz w:val="28"/>
        </w:rPr>
        <w:t xml:space="preserve">ых отчетах, предоставляемых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России);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анализе по итогам года по противодействию коррупции и урегулированию конфликта интересов на Предприятии;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соблюдении запрета дарить и получать подарки;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подготовке Плана работы Комиссии по противоде</w:t>
      </w:r>
      <w:r>
        <w:rPr>
          <w:rFonts w:ascii="Times New Roman" w:eastAsia="Times New Roman" w:hAnsi="Times New Roman" w:cs="Times New Roman"/>
          <w:sz w:val="28"/>
        </w:rPr>
        <w:t>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2021 год.</w:t>
      </w:r>
    </w:p>
    <w:p w:rsidR="00AB7D08" w:rsidRDefault="00FC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всем четырем вопросам докладывал ответственный секретарь Комиссии, который разъяснил присутствующим, что: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08 апреля 20</w:t>
      </w:r>
      <w:r>
        <w:rPr>
          <w:rFonts w:ascii="Times New Roman" w:eastAsia="Times New Roman" w:hAnsi="Times New Roman" w:cs="Times New Roman"/>
          <w:sz w:val="28"/>
        </w:rPr>
        <w:t xml:space="preserve">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Минпромторгу</w:t>
      </w:r>
      <w:proofErr w:type="spellEnd"/>
    </w:p>
    <w:p w:rsidR="00AB7D08" w:rsidRDefault="00FC04AA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России» в адрес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сведения о реализации мероприятий в сфере противодействия коррупции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</w:t>
      </w:r>
      <w:r>
        <w:rPr>
          <w:rFonts w:ascii="Times New Roman" w:eastAsia="Times New Roman" w:hAnsi="Times New Roman" w:cs="Times New Roman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4 квартал 2020 года будут направлены до 22.12.2020, согласно письму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14.12.2020 № ЦС-97934/01. 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 результатам 2020 года все мероприятия по противодействию коррупции и урегулированию конфликта интересов на Предприятии выполн</w:t>
      </w:r>
      <w:r>
        <w:rPr>
          <w:rFonts w:ascii="Times New Roman" w:eastAsia="Times New Roman" w:hAnsi="Times New Roman" w:cs="Times New Roman"/>
          <w:sz w:val="28"/>
        </w:rPr>
        <w:t>ены, оснований для проверок не возникало, также сообщений о конфликте интересов в течение 2020 года не поступало.</w:t>
      </w:r>
    </w:p>
    <w:p w:rsidR="00AB7D08" w:rsidRDefault="00FC04AA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Также был разъяснен порядок о соблюдении сотрудниками Предприятия запрета дарить и получать подарки.</w:t>
      </w:r>
    </w:p>
    <w:p w:rsidR="00AB7D08" w:rsidRDefault="00FC04AA">
      <w:pPr>
        <w:spacing w:before="52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4. План работы Комиссии по противодейс</w:t>
      </w:r>
      <w:r>
        <w:rPr>
          <w:rFonts w:ascii="Times New Roman" w:eastAsia="Times New Roman" w:hAnsi="Times New Roman" w:cs="Times New Roman"/>
          <w:sz w:val="28"/>
        </w:rPr>
        <w:t>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2021 находится в разработке и будет утвержден в 1 квартале 2021 года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информацию докладчика Комиссия решила: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принять информацию ответственного секретаря комиссии к сведению;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реализовать мероприятия в соответствии с Планом;</w:t>
      </w:r>
    </w:p>
    <w:p w:rsidR="00AB7D08" w:rsidRDefault="00FC04AA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организовать подготовку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ГкНИПАС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2021.</w:t>
      </w:r>
    </w:p>
    <w:p w:rsidR="00AB7D08" w:rsidRDefault="00AB7D08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7D08" w:rsidRDefault="00AB7D08">
      <w:pPr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7D08" w:rsidRDefault="00AB7D08">
      <w:pPr>
        <w:spacing w:before="5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7D08" w:rsidRDefault="00AB7D08"/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AB7D08">
      <w:pPr>
        <w:jc w:val="center"/>
      </w:pPr>
    </w:p>
    <w:p w:rsidR="00AB7D08" w:rsidRDefault="00FC04AA">
      <w:pPr>
        <w:jc w:val="center"/>
      </w:pPr>
      <w:r>
        <w:t>2</w:t>
      </w:r>
    </w:p>
    <w:sectPr w:rsidR="00AB7D08">
      <w:footerReference w:type="default" r:id="rId6"/>
      <w:pgSz w:w="11906" w:h="16838"/>
      <w:pgMar w:top="1134" w:right="567" w:bottom="1787" w:left="1417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4AA">
      <w:pPr>
        <w:spacing w:after="0" w:line="240" w:lineRule="auto"/>
      </w:pPr>
      <w:r>
        <w:separator/>
      </w:r>
    </w:p>
  </w:endnote>
  <w:endnote w:type="continuationSeparator" w:id="0">
    <w:p w:rsidR="00000000" w:rsidRDefault="00FC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08" w:rsidRDefault="00AB7D08">
    <w:pPr>
      <w:pStyle w:val="af"/>
      <w:jc w:val="center"/>
    </w:pPr>
  </w:p>
  <w:p w:rsidR="00AB7D08" w:rsidRDefault="00AB7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04AA">
      <w:pPr>
        <w:spacing w:after="0" w:line="240" w:lineRule="auto"/>
      </w:pPr>
      <w:r>
        <w:separator/>
      </w:r>
    </w:p>
  </w:footnote>
  <w:footnote w:type="continuationSeparator" w:id="0">
    <w:p w:rsidR="00000000" w:rsidRDefault="00FC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D08"/>
    <w:rsid w:val="00727E65"/>
    <w:rsid w:val="00AB7D08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6D68"/>
  <w15:docId w15:val="{C85A5DFB-E754-4F94-82D7-01E4DD6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spacing w:before="300"/>
      <w:contextualSpacing/>
    </w:pPr>
    <w:rPr>
      <w:sz w:val="48"/>
      <w:szCs w:val="4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rPr>
      <w:b/>
      <w:bCs/>
      <w:color w:val="4F81BD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c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pPr>
      <w:spacing w:after="40" w:line="240" w:lineRule="auto"/>
    </w:pPr>
    <w:rPr>
      <w:sz w:val="18"/>
    </w:rPr>
  </w:style>
  <w:style w:type="paragraph" w:styleId="af1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2">
    <w:name w:val="TOC Heading"/>
    <w:qFormat/>
    <w:pPr>
      <w:spacing w:after="200" w:line="276" w:lineRule="auto"/>
    </w:pPr>
    <w:rPr>
      <w:sz w:val="22"/>
    </w:rPr>
  </w:style>
  <w:style w:type="paragraph" w:styleId="af3">
    <w:name w:val="table of figures"/>
    <w:basedOn w:val="a"/>
    <w:qFormat/>
    <w:pPr>
      <w:spacing w:after="0"/>
    </w:pPr>
  </w:style>
  <w:style w:type="paragraph" w:styleId="af4">
    <w:name w:val="No Spacing"/>
    <w:basedOn w:val="a"/>
    <w:qFormat/>
    <w:pPr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Шарафутдинов Игорь Владимирович</cp:lastModifiedBy>
  <cp:revision>26</cp:revision>
  <dcterms:created xsi:type="dcterms:W3CDTF">2023-08-11T09:53:00Z</dcterms:created>
  <dcterms:modified xsi:type="dcterms:W3CDTF">2023-08-17T10:12:00Z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